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6B" w:rsidRPr="0069216B" w:rsidRDefault="0069216B" w:rsidP="0069216B">
      <w:pPr>
        <w:rPr>
          <w:b/>
          <w:sz w:val="32"/>
          <w:szCs w:val="32"/>
          <w:lang w:val="ro-MD" w:eastAsia="en-GB"/>
        </w:rPr>
      </w:pPr>
      <w:r w:rsidRPr="0069216B">
        <w:rPr>
          <w:b/>
          <w:sz w:val="32"/>
          <w:szCs w:val="32"/>
          <w:lang w:val="ro-MD" w:eastAsia="en-GB"/>
        </w:rPr>
        <w:t>Proiectul caietului de sarcini</w:t>
      </w:r>
      <w:r>
        <w:rPr>
          <w:b/>
          <w:sz w:val="32"/>
          <w:szCs w:val="32"/>
          <w:lang w:val="ro-MD" w:eastAsia="en-GB"/>
        </w:rPr>
        <w:t>:</w:t>
      </w:r>
    </w:p>
    <w:p w:rsidR="0069216B" w:rsidRPr="0069216B" w:rsidRDefault="0069216B" w:rsidP="0069216B">
      <w:pPr>
        <w:ind w:right="-172"/>
        <w:rPr>
          <w:i/>
          <w:iCs/>
          <w:sz w:val="24"/>
          <w:szCs w:val="24"/>
          <w:lang w:val="ro-MD"/>
        </w:rPr>
      </w:pPr>
      <w:r w:rsidRPr="0069216B">
        <w:rPr>
          <w:sz w:val="24"/>
          <w:szCs w:val="24"/>
          <w:lang w:val="ro-MD"/>
        </w:rPr>
        <w:t xml:space="preserve">Obiectul: </w:t>
      </w:r>
      <w:r w:rsidRPr="0069216B">
        <w:rPr>
          <w:b/>
          <w:sz w:val="24"/>
          <w:szCs w:val="24"/>
          <w:lang w:val="ro-MD"/>
        </w:rPr>
        <w:t>Set consumabile pentru colectarea trombocitelor în doza dubla de trombocite si una doza de plasma</w:t>
      </w:r>
    </w:p>
    <w:p w:rsidR="0069216B" w:rsidRPr="0069216B" w:rsidRDefault="0069216B" w:rsidP="0069216B">
      <w:pPr>
        <w:ind w:right="-172"/>
        <w:rPr>
          <w:sz w:val="24"/>
          <w:szCs w:val="24"/>
          <w:lang w:val="ro-MD"/>
        </w:rPr>
      </w:pPr>
      <w:r w:rsidRPr="0069216B">
        <w:rPr>
          <w:sz w:val="24"/>
          <w:szCs w:val="24"/>
          <w:lang w:val="ro-MD"/>
        </w:rPr>
        <w:t xml:space="preserve">Descriere generală. Beneficiar: </w:t>
      </w:r>
      <w:r w:rsidRPr="0069216B">
        <w:rPr>
          <w:b/>
          <w:sz w:val="24"/>
          <w:szCs w:val="24"/>
          <w:lang w:val="ro-MD"/>
        </w:rPr>
        <w:t>Centrul Național de Transfuzie a Sângelui</w:t>
      </w:r>
    </w:p>
    <w:p w:rsidR="0069216B" w:rsidRPr="0069216B" w:rsidRDefault="0069216B" w:rsidP="0069216B">
      <w:pPr>
        <w:rPr>
          <w:sz w:val="24"/>
          <w:szCs w:val="24"/>
          <w:lang w:val="ro-MD"/>
        </w:rPr>
      </w:pPr>
      <w:r w:rsidRPr="0069216B">
        <w:rPr>
          <w:sz w:val="24"/>
          <w:szCs w:val="24"/>
          <w:lang w:val="ro-MD"/>
        </w:rPr>
        <w:t>Cod CPV: 33100000-1</w:t>
      </w:r>
    </w:p>
    <w:tbl>
      <w:tblPr>
        <w:tblW w:w="153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523"/>
        <w:gridCol w:w="7619"/>
        <w:gridCol w:w="1096"/>
        <w:gridCol w:w="1296"/>
        <w:gridCol w:w="1829"/>
        <w:gridCol w:w="1364"/>
      </w:tblGrid>
      <w:tr w:rsidR="0069216B" w:rsidRPr="00BD492F" w:rsidTr="002672F1">
        <w:trPr>
          <w:trHeight w:val="600"/>
        </w:trPr>
        <w:tc>
          <w:tcPr>
            <w:tcW w:w="576" w:type="dxa"/>
            <w:shd w:val="clear" w:color="000000" w:fill="C0C0C0"/>
            <w:hideMark/>
          </w:tcPr>
          <w:p w:rsidR="0069216B" w:rsidRPr="00BD492F" w:rsidRDefault="0069216B" w:rsidP="002672F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Nr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Lot</w:t>
            </w:r>
            <w:proofErr w:type="spellEnd"/>
          </w:p>
        </w:tc>
        <w:tc>
          <w:tcPr>
            <w:tcW w:w="1523" w:type="dxa"/>
            <w:shd w:val="clear" w:color="000000" w:fill="C0C0C0"/>
            <w:vAlign w:val="center"/>
            <w:hideMark/>
          </w:tcPr>
          <w:p w:rsidR="0069216B" w:rsidRPr="00BD492F" w:rsidRDefault="0069216B" w:rsidP="002672F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Denumire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Lot</w:t>
            </w:r>
            <w:proofErr w:type="spellEnd"/>
          </w:p>
        </w:tc>
        <w:tc>
          <w:tcPr>
            <w:tcW w:w="7619" w:type="dxa"/>
            <w:shd w:val="clear" w:color="000000" w:fill="C0C0C0"/>
            <w:vAlign w:val="center"/>
            <w:hideMark/>
          </w:tcPr>
          <w:p w:rsidR="0069216B" w:rsidRPr="00BD492F" w:rsidRDefault="0069216B" w:rsidP="002672F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Specificarea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tehnică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deplină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solicitată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de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către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autoritatea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contractantă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096" w:type="dxa"/>
            <w:shd w:val="clear" w:color="000000" w:fill="C0C0C0"/>
            <w:vAlign w:val="center"/>
            <w:hideMark/>
          </w:tcPr>
          <w:p w:rsidR="0069216B" w:rsidRPr="00BD492F" w:rsidRDefault="0069216B" w:rsidP="002672F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Unitatea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de</w:t>
            </w:r>
            <w:proofErr w:type="spellEnd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măsură</w:t>
            </w:r>
            <w:proofErr w:type="spellEnd"/>
          </w:p>
        </w:tc>
        <w:tc>
          <w:tcPr>
            <w:tcW w:w="1296" w:type="dxa"/>
            <w:shd w:val="clear" w:color="000000" w:fill="C0C0C0"/>
            <w:vAlign w:val="center"/>
            <w:hideMark/>
          </w:tcPr>
          <w:p w:rsidR="0069216B" w:rsidRPr="00BD492F" w:rsidRDefault="0069216B" w:rsidP="002672F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D492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Cantitatea</w:t>
            </w:r>
            <w:proofErr w:type="spellEnd"/>
          </w:p>
        </w:tc>
        <w:tc>
          <w:tcPr>
            <w:tcW w:w="1829" w:type="dxa"/>
            <w:shd w:val="clear" w:color="000000" w:fill="C0C0C0"/>
            <w:vAlign w:val="center"/>
            <w:hideMark/>
          </w:tcPr>
          <w:p w:rsidR="0069216B" w:rsidRPr="00BD492F" w:rsidRDefault="0069216B" w:rsidP="002672F1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>Termenul</w:t>
            </w:r>
            <w:proofErr w:type="spellEnd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>de</w:t>
            </w:r>
            <w:proofErr w:type="spellEnd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>livrare</w:t>
            </w:r>
            <w:proofErr w:type="spellEnd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>prestare</w:t>
            </w:r>
            <w:proofErr w:type="spellEnd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4" w:type="dxa"/>
            <w:shd w:val="clear" w:color="000000" w:fill="BFBFBF"/>
            <w:vAlign w:val="center"/>
            <w:hideMark/>
          </w:tcPr>
          <w:p w:rsidR="0069216B" w:rsidRPr="00BD492F" w:rsidRDefault="0069216B" w:rsidP="002672F1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</w:pPr>
            <w:r w:rsidRPr="00BD492F">
              <w:rPr>
                <w:rFonts w:eastAsia="Times New Roman"/>
                <w:b/>
                <w:color w:val="000000"/>
                <w:sz w:val="24"/>
                <w:szCs w:val="24"/>
              </w:rPr>
              <w:t>Valoarea estimată</w:t>
            </w:r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>fără</w:t>
            </w:r>
            <w:proofErr w:type="spellEnd"/>
            <w:r w:rsidRPr="00BD492F">
              <w:rPr>
                <w:rFonts w:eastAsia="Times New Roman"/>
                <w:b/>
                <w:color w:val="000000"/>
                <w:sz w:val="24"/>
                <w:szCs w:val="24"/>
                <w:lang w:val="ru-RU"/>
              </w:rPr>
              <w:t xml:space="preserve"> TVA</w:t>
            </w:r>
          </w:p>
        </w:tc>
      </w:tr>
      <w:tr w:rsidR="0069216B" w:rsidRPr="00BD492F" w:rsidTr="002672F1">
        <w:trPr>
          <w:trHeight w:val="600"/>
        </w:trPr>
        <w:tc>
          <w:tcPr>
            <w:tcW w:w="576" w:type="dxa"/>
            <w:shd w:val="clear" w:color="auto" w:fill="auto"/>
            <w:hideMark/>
          </w:tcPr>
          <w:p w:rsidR="0069216B" w:rsidRPr="00BD492F" w:rsidRDefault="0069216B" w:rsidP="002672F1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BD492F">
              <w:rPr>
                <w:rFonts w:eastAsia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69216B" w:rsidRPr="00BD492F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consumabile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colectarea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doza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dubla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una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doza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plasma</w:t>
            </w:r>
            <w:proofErr w:type="spellEnd"/>
          </w:p>
        </w:tc>
        <w:tc>
          <w:tcPr>
            <w:tcW w:w="7619" w:type="dxa"/>
            <w:shd w:val="clear" w:color="auto" w:fill="auto"/>
          </w:tcPr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Cerințe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față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medical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necesar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procesul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colectarea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doza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dubla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una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doza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plasma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donator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total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– 25</w:t>
            </w: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00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seturi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asigurarea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activității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realizare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solicitărilor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IMS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concentrat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plachete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timp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real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utilizarea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seturilor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oferite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este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necesar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aplica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activitatea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recoltare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trombocite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cel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puțin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4 (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patru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dispozitive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medicale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identice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ca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model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performanță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457359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Cerințe</w:t>
            </w:r>
            <w:proofErr w:type="spellEnd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față</w:t>
            </w:r>
            <w:proofErr w:type="spellEnd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de</w:t>
            </w:r>
            <w:proofErr w:type="spellEnd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dispozitivul</w:t>
            </w:r>
            <w:proofErr w:type="spellEnd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medical</w:t>
            </w:r>
            <w:proofErr w:type="spellEnd"/>
            <w:r>
              <w:rPr>
                <w:rFonts w:eastAsia="Times New Roman"/>
                <w:sz w:val="24"/>
                <w:szCs w:val="24"/>
                <w:highlight w:val="yellow"/>
                <w:lang w:val="ro-MD"/>
              </w:rPr>
              <w:t xml:space="preserve"> care urmează a fi transmise în comodat</w:t>
            </w:r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necesar</w:t>
            </w:r>
            <w:proofErr w:type="spellEnd"/>
            <w:r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- </w:t>
            </w:r>
            <w:r w:rsidRPr="00457359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4 </w:t>
            </w:r>
            <w:proofErr w:type="spellStart"/>
            <w:r w:rsidRPr="00457359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bucăți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             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Destinație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efectuarea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procedurii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citafereză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donatorul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celule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Tehnologie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automatizată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tip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închis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Separarea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componentelor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plasmă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):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centrifugare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seturi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sterile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unica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folosință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Cerințe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către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funcționalitatea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a)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Pompă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sânge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Pompă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anticoagulant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>c)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Pompe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componenți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separate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>d)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puțin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detectoare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bula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aer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tubulatura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e)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puțin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5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clame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închidere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liniei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plasmă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sânge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soluție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anticoagulant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Mecanismul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închidere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centrifugii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rapid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apăsare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).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g)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Detector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presiunii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intravenoase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donator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h)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Posibilitatea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schimbării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parametrilor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timpul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procedurii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fără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întreruperea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procedurii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>i)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Manjeta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reglabila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Posibilitatea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modificării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vitezei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pompelor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j)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Ecran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tactil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permite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programarea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parametrilor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k)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Scaner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barcod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port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conectare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internet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manipulări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distanță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>l)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Husa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protectie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silicon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bucata</w:t>
            </w:r>
            <w:proofErr w:type="spellEnd"/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lastRenderedPageBreak/>
              <w:t>Tensiunea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alimentare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: 220V, 50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Hz</w:t>
            </w:r>
            <w:proofErr w:type="spellEnd"/>
          </w:p>
          <w:p w:rsidR="0069216B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pune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dispoziția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beneficiarului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mod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gratuit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puțin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4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medicale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identice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model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performanță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Confirmarea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privind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prezentarea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livrare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perioada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activitate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copiilor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manualului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deservire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diagrama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electronica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pașapoartelor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tehnice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inclusiv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descrierea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părților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tehnice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componente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autorizat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producător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fiecare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Confirmarea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privind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livrarea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instalarea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gratuită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medicale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puțin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4 (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număr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termen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zile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lucrătoare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data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notificare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emisă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beneficiar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semnarea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bilaterală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între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beneficiar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operatorul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economic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desemnat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cîștigător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)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contractului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comodat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Confirmarea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privind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instruirea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personalului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implicat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operarea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medical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gratuit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operatorul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economic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câștigător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parcursul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10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zile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momentul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punerii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funcțiune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deservirii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tehnice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reparație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</w:t>
            </w:r>
            <w:r>
              <w:rPr>
                <w:rFonts w:eastAsia="Times New Roman"/>
                <w:sz w:val="24"/>
                <w:szCs w:val="24"/>
                <w:lang w:val="ru-RU"/>
              </w:rPr>
              <w:t>ivelor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medicale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oferite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comodat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toată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perioada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executare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contractului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Set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consumabile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pentru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colectarea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trombocitelor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în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doza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dubla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trombocite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si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una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doza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de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highlight w:val="yellow"/>
                <w:lang w:val="ru-RU"/>
              </w:rPr>
              <w:t>plasma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25</w:t>
            </w: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00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bucăți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Destinație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colectarea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doză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dublă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una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doză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plasmă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Proprietăţile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componentelor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obligatorii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6D3DE2">
              <w:rPr>
                <w:rFonts w:eastAsia="Times New Roman"/>
                <w:sz w:val="24"/>
                <w:szCs w:val="24"/>
                <w:lang w:val="ru-RU"/>
              </w:rPr>
              <w:t>setului</w:t>
            </w:r>
            <w:proofErr w:type="spellEnd"/>
            <w:r w:rsidRPr="006D3DE2"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Materiale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bază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plasticului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polivinilhlorid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sau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dietilftalat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tehnologie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deleucocitare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obținerea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produsului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finit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deleucocitat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Ac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tip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16/17 G,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fisura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laterală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Sistemul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capisonare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acului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post-donare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utilizare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ulterioară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inofensivă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obligatoriu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prezent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Soluţie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anticoagulantă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a)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recipient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plastic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b)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volum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500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c)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sterilă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apirogenă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d)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element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permite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fixarea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recipientului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suport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e)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conţinut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citrat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dexroză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Sistemul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recoltare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probei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sanguine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laborator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a)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eprubetă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vacum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b)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dotată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holder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şi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ac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c)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integrat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sistemul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închis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şi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steril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tubulaturii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recoltare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; 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d)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clamă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Containerul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colectarea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şi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depozitarea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plachetelor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a) 2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număr</w:t>
            </w:r>
            <w:proofErr w:type="spellEnd"/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b)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posibilitatea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recoltării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donator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două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doze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c)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recoltarea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automată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concentratului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containerele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plastic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fără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manipulări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mecanice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suplimentare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procesul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recoltare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d)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racordul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superioară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conexiunea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sistemul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transfuzie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e)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fantă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inferioară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suspendarea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containerului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suportul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transfuzie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colectare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trombocitelor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rezervor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fiolă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colectarea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probelor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plachetelor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examinarea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controlului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calității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preferabil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capacitatea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totală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probei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mică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8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);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Containerul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recoltarea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și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depozitarea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plasmei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: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a) 1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număr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b)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o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capacitate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600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până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1000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±10%;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c)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două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orificii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superioara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fixarea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acestuia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presele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separare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dispozitivului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separare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componente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sanguine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d)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racordul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superioară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conexiunea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sistemul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transfuzie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e)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fantă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partea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inferioară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suspendarea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containerului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suportul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transfuzie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;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Tubulatura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conexiune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soluţia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anticoagulantă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asigurată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filtru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193171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Eticheta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fond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şi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marcajul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containerelor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colectarea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componentelor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sanguine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inviolabilă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rezistentă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umiditate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sporită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inscripţiile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obligatorii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despre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tipul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volumul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containerului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lot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serie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termenii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valabilitate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producătorul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şi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notificarea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“STERIL”,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asugurate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cod-bare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pentru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identificare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serie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69216B" w:rsidRPr="00BD492F" w:rsidRDefault="0069216B" w:rsidP="002672F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Forma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ambalare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fiecare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sau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componentă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setului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ambalat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separat</w:t>
            </w:r>
            <w:proofErr w:type="spellEnd"/>
            <w:proofErr w:type="gram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ambalaj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securizat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marcat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şi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etichetat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producător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menţionarea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datelor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identitate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denumire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număr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lot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/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serie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inclusiv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identificare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prin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bare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termeni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valabilitate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condiţii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păstrare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şi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prezenţa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notificărilor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„DE UZ UNIC”, „STERIL”.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Datele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identitate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expuse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ambalaj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vor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coincide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în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mod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obligator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cele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de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pe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fiecare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set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sau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componentă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 xml:space="preserve"> a </w:t>
            </w:r>
            <w:proofErr w:type="spellStart"/>
            <w:r w:rsidRPr="00193171">
              <w:rPr>
                <w:rFonts w:eastAsia="Times New Roman"/>
                <w:sz w:val="24"/>
                <w:szCs w:val="24"/>
                <w:lang w:val="ru-RU"/>
              </w:rPr>
              <w:t>acestuia</w:t>
            </w:r>
            <w:proofErr w:type="spellEnd"/>
            <w:r w:rsidRPr="00193171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16B" w:rsidRPr="004D26E0" w:rsidRDefault="0069216B" w:rsidP="002672F1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D26E0">
              <w:rPr>
                <w:color w:val="000000"/>
                <w:lang w:val="ru-RU"/>
              </w:rPr>
              <w:lastRenderedPageBreak/>
              <w:t>set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6B" w:rsidRPr="004D26E0" w:rsidRDefault="0069216B" w:rsidP="002672F1">
            <w:pPr>
              <w:jc w:val="center"/>
              <w:rPr>
                <w:lang w:val="ru-RU"/>
              </w:rPr>
            </w:pPr>
            <w:r w:rsidRPr="004D26E0">
              <w:rPr>
                <w:lang w:val="ru-RU"/>
              </w:rPr>
              <w:t>2500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69216B" w:rsidRPr="00193171" w:rsidRDefault="0069216B" w:rsidP="002672F1">
            <w:pPr>
              <w:jc w:val="center"/>
              <w:rPr>
                <w:rFonts w:eastAsia="Times New Roman"/>
                <w:sz w:val="24"/>
                <w:szCs w:val="24"/>
                <w:lang w:val="ro-MD"/>
              </w:rPr>
            </w:pPr>
            <w:r w:rsidRPr="00193171">
              <w:rPr>
                <w:rFonts w:eastAsia="Times New Roman"/>
                <w:sz w:val="24"/>
                <w:szCs w:val="24"/>
                <w:lang w:val="ro-MD"/>
              </w:rPr>
              <w:t>I tranșa- martie,</w:t>
            </w:r>
          </w:p>
          <w:p w:rsidR="0069216B" w:rsidRPr="00193171" w:rsidRDefault="0069216B" w:rsidP="002672F1">
            <w:pPr>
              <w:jc w:val="center"/>
              <w:rPr>
                <w:rFonts w:eastAsia="Times New Roman"/>
                <w:sz w:val="24"/>
                <w:szCs w:val="24"/>
                <w:lang w:val="ro-MD"/>
              </w:rPr>
            </w:pPr>
            <w:r w:rsidRPr="00193171">
              <w:rPr>
                <w:rFonts w:eastAsia="Times New Roman"/>
                <w:sz w:val="24"/>
                <w:szCs w:val="24"/>
                <w:lang w:val="ro-MD"/>
              </w:rPr>
              <w:t xml:space="preserve"> II tranșa- mai,</w:t>
            </w:r>
          </w:p>
          <w:p w:rsidR="0069216B" w:rsidRPr="00193171" w:rsidRDefault="0069216B" w:rsidP="002672F1">
            <w:pPr>
              <w:jc w:val="center"/>
              <w:rPr>
                <w:rFonts w:eastAsia="Times New Roman"/>
                <w:sz w:val="24"/>
                <w:szCs w:val="24"/>
                <w:lang w:val="ro-MD"/>
              </w:rPr>
            </w:pPr>
            <w:r w:rsidRPr="00193171">
              <w:rPr>
                <w:rFonts w:eastAsia="Times New Roman"/>
                <w:sz w:val="24"/>
                <w:szCs w:val="24"/>
                <w:lang w:val="ro-MD"/>
              </w:rPr>
              <w:t xml:space="preserve"> III tranșa-august,</w:t>
            </w:r>
          </w:p>
          <w:p w:rsidR="0069216B" w:rsidRPr="00193171" w:rsidRDefault="0069216B" w:rsidP="002672F1">
            <w:pPr>
              <w:jc w:val="center"/>
              <w:rPr>
                <w:rFonts w:eastAsia="Times New Roman"/>
                <w:sz w:val="24"/>
                <w:szCs w:val="24"/>
                <w:lang w:val="ro-MD"/>
              </w:rPr>
            </w:pPr>
            <w:r w:rsidRPr="00193171">
              <w:rPr>
                <w:rFonts w:eastAsia="Times New Roman"/>
                <w:sz w:val="24"/>
                <w:szCs w:val="24"/>
                <w:lang w:val="ro-MD"/>
              </w:rPr>
              <w:t xml:space="preserve"> IV tranșa-octombrie.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69216B" w:rsidRPr="00BD492F" w:rsidRDefault="0069216B" w:rsidP="002672F1">
            <w:pPr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193171">
              <w:rPr>
                <w:rFonts w:eastAsia="Times New Roman"/>
                <w:sz w:val="24"/>
                <w:szCs w:val="24"/>
                <w:lang w:val="ru-RU"/>
              </w:rPr>
              <w:t>7267441,86</w:t>
            </w:r>
          </w:p>
        </w:tc>
      </w:tr>
    </w:tbl>
    <w:p w:rsidR="0069216B" w:rsidRDefault="0069216B" w:rsidP="0069216B">
      <w:pPr>
        <w:rPr>
          <w:lang w:val="ro-MD"/>
        </w:rPr>
      </w:pPr>
    </w:p>
    <w:p w:rsidR="0069216B" w:rsidRPr="00987EEF" w:rsidRDefault="0069216B" w:rsidP="0069216B">
      <w:pPr>
        <w:rPr>
          <w:lang w:val="ro-MD"/>
        </w:rPr>
      </w:pPr>
    </w:p>
    <w:p w:rsidR="0069216B" w:rsidRPr="00987EEF" w:rsidRDefault="0069216B" w:rsidP="0069216B">
      <w:pPr>
        <w:jc w:val="center"/>
        <w:rPr>
          <w:lang w:val="ro-MD"/>
        </w:rPr>
      </w:pPr>
    </w:p>
    <w:p w:rsidR="0069216B" w:rsidRPr="00987EEF" w:rsidRDefault="0069216B" w:rsidP="0069216B">
      <w:pPr>
        <w:jc w:val="center"/>
        <w:rPr>
          <w:lang w:val="ro-MD"/>
        </w:rPr>
      </w:pPr>
    </w:p>
    <w:p w:rsidR="0069216B" w:rsidRPr="00987EEF" w:rsidRDefault="0069216B" w:rsidP="0069216B">
      <w:pPr>
        <w:jc w:val="center"/>
        <w:rPr>
          <w:lang w:val="ro-MD"/>
        </w:rPr>
      </w:pPr>
    </w:p>
    <w:p w:rsidR="00823AA2" w:rsidRDefault="00823AA2"/>
    <w:sectPr w:rsidR="00823AA2" w:rsidSect="002B3F5C">
      <w:pgSz w:w="16840" w:h="11910" w:orient="landscape"/>
      <w:pgMar w:top="284" w:right="280" w:bottom="1220" w:left="14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6B"/>
    <w:rsid w:val="00133AB9"/>
    <w:rsid w:val="00147111"/>
    <w:rsid w:val="00192855"/>
    <w:rsid w:val="00233880"/>
    <w:rsid w:val="002F4F53"/>
    <w:rsid w:val="00302169"/>
    <w:rsid w:val="00475E4B"/>
    <w:rsid w:val="005E0AF1"/>
    <w:rsid w:val="0069216B"/>
    <w:rsid w:val="007B098C"/>
    <w:rsid w:val="00823AA2"/>
    <w:rsid w:val="00AD5DE9"/>
    <w:rsid w:val="00D715E4"/>
    <w:rsid w:val="00D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6B35"/>
  <w15:chartTrackingRefBased/>
  <w15:docId w15:val="{AB54EBED-4C50-43A9-A8A4-8104E1B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2026-03-16T14:57:00Z</dcterms:created>
  <dcterms:modified xsi:type="dcterms:W3CDTF">2026-03-16T14:58:00Z</dcterms:modified>
</cp:coreProperties>
</file>